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巨野锦晨精细化工有限公司</w:t>
      </w:r>
    </w:p>
    <w:p>
      <w:pPr>
        <w:pStyle w:val="2"/>
        <w:jc w:val="center"/>
        <w:rPr>
          <w:rFonts w:hint="eastAsia" w:ascii="仿宋" w:hAnsi="仿宋" w:eastAsia="仿宋" w:cs="仿宋"/>
          <w:sz w:val="52"/>
          <w:szCs w:val="52"/>
          <w:lang w:val="en-US"/>
        </w:rPr>
      </w:pPr>
      <w:r>
        <w:rPr>
          <w:rFonts w:hint="eastAsia" w:ascii="仿宋" w:hAnsi="仿宋" w:eastAsia="仿宋" w:cs="仿宋"/>
          <w:sz w:val="52"/>
          <w:szCs w:val="52"/>
          <w:lang w:val="en-US"/>
        </w:rPr>
        <w:t xml:space="preserve">危险废物申报登记制度 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为了便于国家有关部门对本公司的工作起到监督监护作用，本公司必须按要求做好危险废物的申报登记工作，特制定本制度，具体如下： 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1、必须按照国家有关规定制定危险废物管理计划，并于每年年底把下一年危险废物的管理计划报</w:t>
      </w:r>
      <w:r>
        <w:rPr>
          <w:rFonts w:hint="eastAsia" w:cs="仿宋"/>
          <w:sz w:val="32"/>
          <w:szCs w:val="32"/>
          <w:lang w:val="en-US" w:eastAsia="zh-CN"/>
        </w:rPr>
        <w:t>菏泽市生态环境局巨野分局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备案。 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2、每年初必须向</w:t>
      </w:r>
      <w:r>
        <w:rPr>
          <w:rFonts w:hint="eastAsia" w:cs="仿宋"/>
          <w:sz w:val="32"/>
          <w:szCs w:val="32"/>
          <w:lang w:val="en-US" w:eastAsia="zh-CN"/>
        </w:rPr>
        <w:t>菏泽市生态环境局巨野分局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申报本公司上一年度危险废物产生、流向、贮存、处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等有关信息；每个季度前15日前申报上一季度危险废物有关信息。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3、产生单位应当制定意外事故的防范措施和应急预案，并向所在地县级以上环保部门备案。 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4、建立好每日的危废产生台账记录，并保存5年以上，以备有据可查。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5、做到申报数量全，不谎报、</w:t>
      </w:r>
      <w:r>
        <w:rPr>
          <w:rFonts w:hint="eastAsia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瞒报。 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6、当申报的事项有重大变化时，及时的申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报。 </w:t>
      </w:r>
    </w:p>
    <w:p>
      <w:pPr>
        <w:numPr>
          <w:ilvl w:val="0"/>
          <w:numId w:val="0"/>
        </w:numPr>
        <w:ind w:firstLine="560"/>
        <w:jc w:val="right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巨野锦晨精细化工有限公司</w:t>
      </w:r>
    </w:p>
    <w:p>
      <w:pPr>
        <w:numPr>
          <w:ilvl w:val="0"/>
          <w:numId w:val="0"/>
        </w:numPr>
        <w:wordWrap w:val="0"/>
        <w:ind w:firstLine="560"/>
        <w:jc w:val="right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2021年10月1日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2E9D"/>
    <w:rsid w:val="375126E2"/>
    <w:rsid w:val="3E180C23"/>
    <w:rsid w:val="43957062"/>
    <w:rsid w:val="67A401C6"/>
    <w:rsid w:val="77D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1"/>
    <w:pPr>
      <w:ind w:left="280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2021-07-08T01:27:00Z</dcterms:created>
  <dc:creator>尘灬丿倾城</dc:creator>
  <cp:lastModifiedBy>以乐</cp:lastModifiedBy>
  <cp:lastPrinted>2021-12-06T05:31:05Z</cp:lastPrinted>
  <dcterms:modified xsi:type="dcterms:W3CDTF">2021-12-06T05:31:07Z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3E12633686E0400A94F87C89ED0FCAC8</vt:lpwstr>
  </property>
</Properties>
</file>